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C3AFC28">
            <wp:extent cx="2946141" cy="2082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7" cy="2085823"/>
                    </a:xfrm>
                    <a:prstGeom prst="rect">
                      <a:avLst/>
                    </a:prstGeom>
                  </pic:spPr>
                </pic:pic>
              </a:graphicData>
            </a:graphic>
          </wp:inline>
        </w:drawing>
      </w:r>
    </w:p>
    <w:p w14:paraId="2192C57C" w14:textId="2D62D58A" w:rsidR="009815C7" w:rsidRPr="00E37C5C" w:rsidRDefault="0028539D" w:rsidP="00794191">
      <w:pPr>
        <w:spacing w:after="0" w:line="240" w:lineRule="auto"/>
        <w:jc w:val="center"/>
        <w:rPr>
          <w:rFonts w:ascii="Sylfaen" w:hAnsi="Sylfaen" w:cs="Sylfaen"/>
          <w:b/>
        </w:rPr>
      </w:pPr>
      <w:r w:rsidRPr="00A3171A">
        <w:rPr>
          <w:rFonts w:ascii="Sylfaen" w:hAnsi="Sylfaen" w:cs="Sylfaen"/>
          <w:b/>
          <w:noProof/>
        </w:rPr>
        <w:drawing>
          <wp:inline distT="0" distB="0" distL="0" distR="0" wp14:anchorId="43A6E60D" wp14:editId="74D44F2B">
            <wp:extent cx="2654300" cy="1875664"/>
            <wp:effectExtent l="0" t="0" r="0" b="0"/>
            <wp:docPr id="4" name="Picture 4"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WP\RW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579" cy="1878688"/>
                    </a:xfrm>
                    <a:prstGeom prst="rect">
                      <a:avLst/>
                    </a:prstGeom>
                    <a:noFill/>
                    <a:ln>
                      <a:noFill/>
                    </a:ln>
                  </pic:spPr>
                </pic:pic>
              </a:graphicData>
            </a:graphic>
          </wp:inline>
        </w:drawing>
      </w:r>
      <w:r w:rsidRPr="00A3171A">
        <w:rPr>
          <w:rFonts w:ascii="Sylfaen" w:hAnsi="Sylfaen" w:cs="Sylfaen"/>
          <w:b/>
          <w:noProof/>
        </w:rPr>
        <w:drawing>
          <wp:inline distT="0" distB="0" distL="0" distR="0" wp14:anchorId="480FB02C" wp14:editId="1CE66AF8">
            <wp:extent cx="2825750" cy="1996819"/>
            <wp:effectExtent l="0" t="0" r="0" b="3810"/>
            <wp:docPr id="5" name="Picture 5" descr="C:\GWP\Mtskh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WP\Mtskhet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1587" cy="2000944"/>
                    </a:xfrm>
                    <a:prstGeom prst="rect">
                      <a:avLst/>
                    </a:prstGeom>
                    <a:noFill/>
                    <a:ln>
                      <a:noFill/>
                    </a:ln>
                  </pic:spPr>
                </pic:pic>
              </a:graphicData>
            </a:graphic>
          </wp:inline>
        </w:drawing>
      </w:r>
    </w:p>
    <w:p w14:paraId="701FB870" w14:textId="6752A76B" w:rsidR="009815C7" w:rsidRPr="00E37C5C" w:rsidRDefault="0028539D" w:rsidP="002372DD">
      <w:pPr>
        <w:spacing w:after="0" w:line="240" w:lineRule="auto"/>
        <w:jc w:val="center"/>
        <w:rPr>
          <w:rFonts w:ascii="Sylfaen" w:hAnsi="Sylfaen" w:cs="Sylfaen"/>
          <w:b/>
        </w:rPr>
      </w:pPr>
      <w:r>
        <w:rPr>
          <w:noProof/>
        </w:rPr>
        <w:drawing>
          <wp:inline distT="0" distB="0" distL="0" distR="0" wp14:anchorId="64ACF567" wp14:editId="03FB5D57">
            <wp:extent cx="2461260" cy="1252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1550" cy="1263094"/>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268E5EA0" w:rsidR="00A71E0B" w:rsidRPr="00A71E0B" w:rsidRDefault="006B2E85" w:rsidP="00A71E0B">
      <w:pPr>
        <w:spacing w:after="0" w:line="240" w:lineRule="auto"/>
        <w:jc w:val="center"/>
        <w:rPr>
          <w:rFonts w:ascii="Sylfaen" w:hAnsi="Sylfaen" w:cs="Sylfaen"/>
          <w:b/>
          <w:lang w:val="ka-GE"/>
        </w:rPr>
      </w:pPr>
      <w:r>
        <w:rPr>
          <w:rFonts w:ascii="Sylfaen" w:hAnsi="Sylfaen" w:cs="Sylfaen"/>
          <w:b/>
          <w:lang w:val="ka-GE"/>
        </w:rPr>
        <w:t xml:space="preserve">პირბადეების შესყიდვასთან დაკავშირებით </w:t>
      </w:r>
      <w:r w:rsidR="00AE20C5">
        <w:rPr>
          <w:rFonts w:ascii="Sylfaen" w:hAnsi="Sylfaen" w:cs="Sylfaen"/>
          <w:b/>
          <w:lang w:val="ka-GE"/>
        </w:rPr>
        <w:t xml:space="preserve">2 ლოტად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397877F9" w14:textId="7B7EDA1C" w:rsidR="006B2E85" w:rsidRDefault="00D30223" w:rsidP="006B2E85">
      <w:pPr>
        <w:spacing w:after="0" w:line="240" w:lineRule="auto"/>
        <w:jc w:val="both"/>
        <w:rPr>
          <w:rFonts w:ascii="Sylfaen" w:hAnsi="Sylfaen" w:cs="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DD1FDF">
        <w:rPr>
          <w:rFonts w:ascii="Sylfaen" w:hAnsi="Sylfaen" w:cs="Arial"/>
          <w:lang w:val="ka-GE"/>
        </w:rPr>
        <w:t xml:space="preserve">, შპს </w:t>
      </w:r>
      <w:r w:rsidR="0028539D">
        <w:rPr>
          <w:rFonts w:ascii="Sylfaen" w:hAnsi="Sylfaen" w:cs="Arial"/>
          <w:lang w:val="ka-GE"/>
        </w:rPr>
        <w:t>„რუსთავის წყალი“ (RWC, ს/კ 21632</w:t>
      </w:r>
      <w:r w:rsidR="0028539D" w:rsidRPr="0028539D">
        <w:rPr>
          <w:rFonts w:ascii="Sylfaen" w:hAnsi="Sylfaen" w:cs="Arial"/>
          <w:lang w:val="ka-GE"/>
        </w:rPr>
        <w:t>351</w:t>
      </w:r>
      <w:r w:rsidR="00DD1FDF">
        <w:rPr>
          <w:rFonts w:ascii="Sylfaen" w:hAnsi="Sylfaen" w:cs="Arial"/>
          <w:lang w:val="ka-GE"/>
        </w:rPr>
        <w:t xml:space="preserve">), შპს </w:t>
      </w:r>
      <w:r w:rsidR="0028539D">
        <w:rPr>
          <w:rFonts w:ascii="Sylfaen" w:hAnsi="Sylfaen" w:cs="Arial"/>
          <w:lang w:val="ka-GE"/>
        </w:rPr>
        <w:t>„</w:t>
      </w:r>
      <w:r w:rsidR="00DD1FDF">
        <w:rPr>
          <w:rFonts w:ascii="Sylfaen" w:hAnsi="Sylfaen" w:cs="Arial"/>
          <w:lang w:val="ka-GE"/>
        </w:rPr>
        <w:t>მცხეთის წყალი</w:t>
      </w:r>
      <w:r w:rsidR="0028539D">
        <w:rPr>
          <w:rFonts w:ascii="Sylfaen" w:hAnsi="Sylfaen" w:cs="Arial"/>
          <w:lang w:val="ka-GE"/>
        </w:rPr>
        <w:t>“ (</w:t>
      </w:r>
      <w:r w:rsidR="0028539D" w:rsidRPr="0028539D">
        <w:rPr>
          <w:rFonts w:ascii="Sylfaen" w:hAnsi="Sylfaen" w:cs="Arial"/>
          <w:lang w:val="ka-GE"/>
        </w:rPr>
        <w:t xml:space="preserve">MWC, </w:t>
      </w:r>
      <w:r w:rsidR="0028539D">
        <w:rPr>
          <w:rFonts w:ascii="Sylfaen" w:hAnsi="Sylfaen" w:cs="Arial"/>
          <w:lang w:val="ka-GE"/>
        </w:rPr>
        <w:t>ს/კ 236052</w:t>
      </w:r>
      <w:r w:rsidR="0028539D" w:rsidRPr="0028539D">
        <w:rPr>
          <w:rFonts w:ascii="Sylfaen" w:hAnsi="Sylfaen" w:cs="Arial"/>
          <w:lang w:val="ka-GE"/>
        </w:rPr>
        <w:t>515</w:t>
      </w:r>
      <w:r w:rsidR="00DD1FDF">
        <w:rPr>
          <w:rFonts w:ascii="Sylfaen" w:hAnsi="Sylfaen" w:cs="Arial"/>
          <w:lang w:val="ka-GE"/>
        </w:rPr>
        <w:t xml:space="preserve"> და შპს </w:t>
      </w:r>
      <w:r w:rsidR="0028539D">
        <w:rPr>
          <w:rFonts w:ascii="Sylfaen" w:hAnsi="Sylfaen" w:cs="Arial"/>
          <w:lang w:val="ka-GE"/>
        </w:rPr>
        <w:t>„</w:t>
      </w:r>
      <w:r w:rsidR="00DD1FDF">
        <w:rPr>
          <w:rFonts w:ascii="Sylfaen" w:hAnsi="Sylfaen" w:cs="Arial"/>
          <w:lang w:val="ka-GE"/>
        </w:rPr>
        <w:t>გარდაბნის გამწმენდი ნაგებობა</w:t>
      </w:r>
      <w:r w:rsidR="0028539D">
        <w:rPr>
          <w:rFonts w:ascii="Sylfaen" w:hAnsi="Sylfaen" w:cs="Arial"/>
          <w:lang w:val="ka-GE"/>
        </w:rPr>
        <w:t>“ (GST, ს/კ 203</w:t>
      </w:r>
      <w:r w:rsidR="0028539D" w:rsidRPr="0028539D">
        <w:rPr>
          <w:rFonts w:ascii="Sylfaen" w:hAnsi="Sylfaen" w:cs="Arial"/>
          <w:lang w:val="ka-GE"/>
        </w:rPr>
        <w:t>828313</w:t>
      </w:r>
      <w:r w:rsidR="0028539D">
        <w:rPr>
          <w:rFonts w:ascii="Sylfaen" w:hAnsi="Sylfaen" w:cs="Arial"/>
          <w:lang w:val="ka-GE"/>
        </w:rPr>
        <w:t>)</w:t>
      </w:r>
      <w:r w:rsidR="00713EFC" w:rsidRPr="0028539D">
        <w:rPr>
          <w:rFonts w:ascii="Arial" w:hAnsi="Arial" w:cs="Arial"/>
          <w:lang w:val="ka-GE"/>
        </w:rPr>
        <w:t xml:space="preserve"> </w:t>
      </w:r>
      <w:r w:rsidR="00A3171A">
        <w:rPr>
          <w:rFonts w:ascii="Sylfaen" w:hAnsi="Sylfaen" w:cs="Arial"/>
          <w:lang w:val="ka-GE"/>
        </w:rPr>
        <w:t xml:space="preserve"> (შემდგომში „შემსყიდველი)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6B2E85">
        <w:rPr>
          <w:rFonts w:ascii="Sylfaen" w:hAnsi="Sylfaen" w:cs="Sylfaen"/>
          <w:b/>
          <w:lang w:val="ka-GE"/>
        </w:rPr>
        <w:t xml:space="preserve">პირბადეების შესყიდვასთან დაკავშირებით </w:t>
      </w:r>
      <w:r w:rsidR="00AE20C5">
        <w:rPr>
          <w:rFonts w:ascii="Sylfaen" w:hAnsi="Sylfaen" w:cs="Sylfaen"/>
          <w:b/>
          <w:lang w:val="ka-GE"/>
        </w:rPr>
        <w:t xml:space="preserve">2 ურთიერთდამოუკიდებელ ლოტად </w:t>
      </w:r>
    </w:p>
    <w:p w14:paraId="67BD08F6" w14:textId="2E0CEE49" w:rsidR="00AE20C5" w:rsidRDefault="00AE20C5" w:rsidP="006B2E85">
      <w:pPr>
        <w:spacing w:after="0" w:line="240" w:lineRule="auto"/>
        <w:jc w:val="both"/>
        <w:rPr>
          <w:rFonts w:ascii="Sylfaen" w:hAnsi="Sylfaen" w:cs="Sylfaen"/>
          <w:b/>
          <w:lang w:val="ka-GE"/>
        </w:rPr>
      </w:pPr>
      <w:r>
        <w:rPr>
          <w:rFonts w:ascii="Sylfaen" w:hAnsi="Sylfaen" w:cs="Sylfaen"/>
          <w:b/>
          <w:lang w:val="ka-GE"/>
        </w:rPr>
        <w:t xml:space="preserve">ლოტი N1 - მრავალჯერადი გამოყენების პირბადეების შესყიდვა </w:t>
      </w:r>
    </w:p>
    <w:p w14:paraId="411E4395" w14:textId="1E50E807" w:rsidR="00AE20C5" w:rsidRPr="00A71E0B" w:rsidRDefault="00AE20C5" w:rsidP="006B2E85">
      <w:pPr>
        <w:spacing w:after="0" w:line="240" w:lineRule="auto"/>
        <w:jc w:val="both"/>
        <w:rPr>
          <w:rFonts w:ascii="Sylfaen" w:hAnsi="Sylfaen" w:cs="Sylfaen"/>
          <w:b/>
          <w:lang w:val="ka-GE"/>
        </w:rPr>
      </w:pPr>
      <w:r>
        <w:rPr>
          <w:rFonts w:ascii="Sylfaen" w:hAnsi="Sylfaen" w:cs="Sylfaen"/>
          <w:b/>
          <w:lang w:val="ka-GE"/>
        </w:rPr>
        <w:t>ლოტი N2 - ერთჯერადი</w:t>
      </w:r>
      <w:r w:rsidR="004C24DE">
        <w:rPr>
          <w:rFonts w:ascii="Sylfaen" w:hAnsi="Sylfaen" w:cs="Sylfaen"/>
          <w:b/>
          <w:lang w:val="ka-GE"/>
        </w:rPr>
        <w:t xml:space="preserve"> (სამედიცინო)</w:t>
      </w:r>
      <w:r>
        <w:rPr>
          <w:rFonts w:ascii="Sylfaen" w:hAnsi="Sylfaen" w:cs="Sylfaen"/>
          <w:b/>
          <w:lang w:val="ka-GE"/>
        </w:rPr>
        <w:t xml:space="preserve"> გამოყენების პირბადეების შესყიდვა </w:t>
      </w:r>
    </w:p>
    <w:p w14:paraId="2C3457DE" w14:textId="68A5BE0A" w:rsidR="004272D2" w:rsidRDefault="004272D2" w:rsidP="006B2E85">
      <w:pPr>
        <w:spacing w:line="240" w:lineRule="auto"/>
        <w:jc w:val="both"/>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6463A49A" w:rsidR="00F45EB8" w:rsidRDefault="005B1472" w:rsidP="005B1472">
      <w:pPr>
        <w:jc w:val="both"/>
        <w:rPr>
          <w:rFonts w:ascii="Sylfaen" w:hAnsi="Sylfaen"/>
          <w:lang w:val="ka-GE"/>
        </w:rPr>
      </w:pPr>
      <w:r w:rsidRPr="005B1472">
        <w:rPr>
          <w:rFonts w:ascii="Sylfaen" w:hAnsi="Sylfaen" w:cs="Sylfaen"/>
          <w:lang w:val="ka-GE"/>
        </w:rPr>
        <w:t>წინამდებარე ტენდერში გამარჯვებული კომპანია ვალდებულია უზრუნველყოს დანართი N</w:t>
      </w:r>
      <w:r w:rsidR="00A3171A">
        <w:rPr>
          <w:rFonts w:ascii="Sylfaen" w:hAnsi="Sylfaen" w:cs="Sylfaen"/>
          <w:lang w:val="ka-GE"/>
        </w:rPr>
        <w:t>1</w:t>
      </w:r>
      <w:r w:rsidRPr="005B1472">
        <w:rPr>
          <w:rFonts w:ascii="Sylfaen" w:hAnsi="Sylfaen" w:cs="Sylfaen"/>
          <w:lang w:val="ka-GE"/>
        </w:rPr>
        <w:t>-ი</w:t>
      </w:r>
      <w:r w:rsidR="00A3171A">
        <w:rPr>
          <w:rFonts w:ascii="Sylfaen" w:hAnsi="Sylfaen" w:cs="Sylfaen"/>
          <w:lang w:val="ka-GE"/>
        </w:rPr>
        <w:t>თ განსაზღვრულ</w:t>
      </w:r>
      <w:r w:rsidR="006B2E85">
        <w:rPr>
          <w:rFonts w:ascii="Sylfaen" w:hAnsi="Sylfaen" w:cs="Sylfaen"/>
          <w:lang w:val="ka-GE"/>
        </w:rPr>
        <w:t>ი</w:t>
      </w:r>
      <w:r w:rsidR="006B2E85">
        <w:rPr>
          <w:rFonts w:ascii="Sylfaen" w:hAnsi="Sylfaen"/>
          <w:lang w:val="ka-GE"/>
        </w:rPr>
        <w:t xml:space="preserve"> პირბადეების მოწოდება შემდეგი ძირითადი მოთხოვნებით:</w:t>
      </w:r>
    </w:p>
    <w:p w14:paraId="2768EF7E" w14:textId="0D98ED4A" w:rsidR="00AE20C5" w:rsidRPr="00AE20C5" w:rsidRDefault="00AE20C5" w:rsidP="004C24DE">
      <w:pPr>
        <w:jc w:val="both"/>
        <w:rPr>
          <w:rFonts w:ascii="Sylfaen" w:hAnsi="Sylfaen"/>
          <w:b/>
          <w:lang w:val="ka-GE"/>
        </w:rPr>
      </w:pPr>
      <w:r w:rsidRPr="00AE20C5">
        <w:rPr>
          <w:rFonts w:ascii="Sylfaen" w:hAnsi="Sylfaen"/>
          <w:b/>
          <w:lang w:val="ka-GE"/>
        </w:rPr>
        <w:t xml:space="preserve">ლოტი N1 </w:t>
      </w:r>
      <w:r w:rsidR="004C24DE">
        <w:rPr>
          <w:rFonts w:ascii="Sylfaen" w:hAnsi="Sylfaen"/>
          <w:b/>
          <w:lang w:val="ka-GE"/>
        </w:rPr>
        <w:t xml:space="preserve">- </w:t>
      </w:r>
      <w:r w:rsidR="004C24DE">
        <w:rPr>
          <w:rFonts w:ascii="Sylfaen" w:hAnsi="Sylfaen" w:cs="Sylfaen"/>
          <w:b/>
          <w:lang w:val="ka-GE"/>
        </w:rPr>
        <w:t>მრავალჯერადი გამოყენების პირბადეების შესყიდვა</w:t>
      </w:r>
    </w:p>
    <w:p w14:paraId="5BD7B4CB" w14:textId="22C2D4C3" w:rsidR="00440A96" w:rsidRPr="00AE20C5" w:rsidRDefault="006B2E85" w:rsidP="00AE20C5">
      <w:pPr>
        <w:pStyle w:val="ListParagraph"/>
        <w:numPr>
          <w:ilvl w:val="0"/>
          <w:numId w:val="39"/>
        </w:numPr>
        <w:jc w:val="both"/>
        <w:rPr>
          <w:rFonts w:ascii="Sylfaen" w:hAnsi="Sylfaen" w:cs="Sylfaen"/>
          <w:b/>
          <w:u w:val="single"/>
          <w:lang w:val="ka-GE"/>
        </w:rPr>
      </w:pPr>
      <w:r w:rsidRPr="00AE20C5">
        <w:rPr>
          <w:rFonts w:ascii="Sylfaen" w:hAnsi="Sylfaen" w:cs="Sylfaen"/>
          <w:lang w:val="ka-GE"/>
        </w:rPr>
        <w:t xml:space="preserve">პირბადე განკუნთვილი უნდა იყოს მრავალჯერადი მოხმარებისათვის; </w:t>
      </w:r>
    </w:p>
    <w:p w14:paraId="1BCD0785" w14:textId="448E97A8" w:rsidR="006B2E85" w:rsidRPr="00F45EB8" w:rsidRDefault="006B2E85" w:rsidP="006B2E85">
      <w:pPr>
        <w:pStyle w:val="ListParagraph"/>
        <w:numPr>
          <w:ilvl w:val="0"/>
          <w:numId w:val="39"/>
        </w:numPr>
        <w:spacing w:after="0" w:line="240" w:lineRule="auto"/>
        <w:jc w:val="both"/>
        <w:rPr>
          <w:rFonts w:ascii="Sylfaen" w:hAnsi="Sylfaen" w:cs="Sylfaen"/>
          <w:b/>
          <w:u w:val="single"/>
          <w:lang w:val="ka-GE"/>
        </w:rPr>
      </w:pPr>
      <w:r>
        <w:rPr>
          <w:rFonts w:ascii="Sylfaen" w:hAnsi="Sylfaen" w:cs="Sylfaen"/>
          <w:lang w:val="ka-GE"/>
        </w:rPr>
        <w:t xml:space="preserve">უნდა იყოს სამშრიანი, </w:t>
      </w:r>
      <w:r w:rsidRPr="00434469">
        <w:rPr>
          <w:rFonts w:ascii="Sylfaen" w:hAnsi="Sylfaen" w:cs="Sylfaen"/>
          <w:lang w:val="ka-GE"/>
        </w:rPr>
        <w:t>„დაავადებათა კონტროლი</w:t>
      </w:r>
      <w:r>
        <w:rPr>
          <w:rFonts w:ascii="Sylfaen" w:hAnsi="Sylfaen" w:cs="Sylfaen"/>
          <w:lang w:val="ka-GE"/>
        </w:rPr>
        <w:t>სა და საზოგადოებრივი ჯანმრთელობის</w:t>
      </w:r>
      <w:r w:rsidRPr="00434469">
        <w:rPr>
          <w:rFonts w:ascii="Sylfaen" w:hAnsi="Sylfaen" w:cs="Sylfaen"/>
          <w:lang w:val="ka-GE"/>
        </w:rPr>
        <w:t xml:space="preserve"> ეროვნული ცენტრის“ მიერ შემუშავებული </w:t>
      </w:r>
      <w:r>
        <w:rPr>
          <w:rFonts w:ascii="Sylfaen" w:hAnsi="Sylfaen" w:cs="Sylfaen"/>
          <w:lang w:val="ka-GE"/>
        </w:rPr>
        <w:t>რეკომენდაციების მიხედვით;</w:t>
      </w:r>
    </w:p>
    <w:p w14:paraId="40553FE6" w14:textId="1E65BDAA" w:rsidR="006B2E85" w:rsidRDefault="006B2E85" w:rsidP="00003B1E">
      <w:pPr>
        <w:pStyle w:val="ListParagraph"/>
        <w:numPr>
          <w:ilvl w:val="0"/>
          <w:numId w:val="39"/>
        </w:numPr>
        <w:spacing w:after="0" w:line="240" w:lineRule="auto"/>
        <w:jc w:val="both"/>
        <w:rPr>
          <w:rFonts w:ascii="Sylfaen" w:hAnsi="Sylfaen" w:cs="Sylfaen"/>
          <w:lang w:val="ka-GE"/>
        </w:rPr>
      </w:pPr>
      <w:r w:rsidRPr="006B2E85">
        <w:rPr>
          <w:rFonts w:ascii="Sylfaen" w:hAnsi="Sylfaen" w:cs="Sylfaen"/>
          <w:lang w:val="ka-GE"/>
        </w:rPr>
        <w:t>ცხვირზე ფიქსაციით</w:t>
      </w:r>
      <w:r>
        <w:rPr>
          <w:rFonts w:ascii="Sylfaen" w:hAnsi="Sylfaen" w:cs="Sylfaen"/>
          <w:lang w:val="ka-GE"/>
        </w:rPr>
        <w:t xml:space="preserve"> და მყარი რეზინების სამაგრით;</w:t>
      </w:r>
    </w:p>
    <w:p w14:paraId="4029D449" w14:textId="6A4930EC" w:rsidR="006B2E85" w:rsidRPr="006B2E85" w:rsidRDefault="006B2E85" w:rsidP="00003B1E">
      <w:pPr>
        <w:pStyle w:val="ListParagraph"/>
        <w:numPr>
          <w:ilvl w:val="0"/>
          <w:numId w:val="39"/>
        </w:numPr>
        <w:spacing w:after="0" w:line="240" w:lineRule="auto"/>
        <w:jc w:val="both"/>
        <w:rPr>
          <w:rFonts w:ascii="Sylfaen" w:hAnsi="Sylfaen" w:cs="Sylfaen"/>
          <w:lang w:val="ka-GE"/>
        </w:rPr>
      </w:pPr>
      <w:r>
        <w:rPr>
          <w:rFonts w:ascii="Sylfaen" w:hAnsi="Sylfaen" w:cs="Sylfaen"/>
          <w:lang w:val="ka-GE"/>
        </w:rPr>
        <w:t xml:space="preserve">ფერი - </w:t>
      </w:r>
      <w:r w:rsidR="00AE20C5">
        <w:rPr>
          <w:rFonts w:ascii="Sylfaen" w:hAnsi="Sylfaen" w:cs="Sylfaen"/>
          <w:lang w:val="ka-GE"/>
        </w:rPr>
        <w:t>ღია</w:t>
      </w:r>
      <w:r>
        <w:rPr>
          <w:rFonts w:ascii="Sylfaen" w:hAnsi="Sylfaen" w:cs="Sylfaen"/>
          <w:lang w:val="ka-GE"/>
        </w:rPr>
        <w:t xml:space="preserve"> ტონები - </w:t>
      </w:r>
      <w:r w:rsidR="00AE20C5">
        <w:rPr>
          <w:rFonts w:ascii="Sylfaen" w:hAnsi="Sylfaen" w:cs="Sylfaen"/>
          <w:lang w:val="ka-GE"/>
        </w:rPr>
        <w:t xml:space="preserve">ღია ნაცრისფერი, ღია ცისფერი - არა თეთრი. </w:t>
      </w:r>
      <w:r>
        <w:rPr>
          <w:rFonts w:ascii="Sylfaen" w:hAnsi="Sylfaen" w:cs="Sylfaen"/>
          <w:lang w:val="ka-GE"/>
        </w:rPr>
        <w:t xml:space="preserve"> </w:t>
      </w:r>
    </w:p>
    <w:p w14:paraId="0353AF42" w14:textId="5E165C8C" w:rsidR="001B055A" w:rsidRPr="00AE20C5" w:rsidRDefault="00F45EB8" w:rsidP="000753EB">
      <w:pPr>
        <w:pStyle w:val="ListParagraph"/>
        <w:numPr>
          <w:ilvl w:val="0"/>
          <w:numId w:val="39"/>
        </w:numPr>
        <w:spacing w:after="0" w:line="240" w:lineRule="auto"/>
        <w:jc w:val="both"/>
        <w:rPr>
          <w:rFonts w:ascii="Sylfaen" w:hAnsi="Sylfaen" w:cs="Sylfaen"/>
          <w:b/>
          <w:bCs/>
          <w:lang w:val="ka-GE"/>
        </w:rPr>
      </w:pPr>
      <w:r w:rsidRPr="006B2E85">
        <w:rPr>
          <w:rFonts w:ascii="Sylfaen" w:hAnsi="Sylfaen"/>
          <w:lang w:val="ka-GE"/>
        </w:rPr>
        <w:t>დაფასოებული უნდა იყოს ჰერმეტულად</w:t>
      </w:r>
      <w:r w:rsidR="006B2E85" w:rsidRPr="006B2E85">
        <w:rPr>
          <w:rFonts w:ascii="Sylfaen" w:hAnsi="Sylfaen"/>
          <w:lang w:val="ka-GE"/>
        </w:rPr>
        <w:t xml:space="preserve"> 50 და/ან 100 ცალიანი შეკვრებით. </w:t>
      </w:r>
    </w:p>
    <w:p w14:paraId="1AE96245" w14:textId="77777777" w:rsidR="00AE20C5" w:rsidRPr="00AE20C5" w:rsidRDefault="00AE20C5" w:rsidP="00AE20C5">
      <w:pPr>
        <w:pStyle w:val="ListParagraph"/>
        <w:spacing w:after="0" w:line="240" w:lineRule="auto"/>
        <w:jc w:val="both"/>
        <w:rPr>
          <w:rFonts w:ascii="Sylfaen" w:hAnsi="Sylfaen" w:cs="Sylfaen"/>
          <w:b/>
          <w:bCs/>
          <w:lang w:val="ka-GE"/>
        </w:rPr>
      </w:pPr>
    </w:p>
    <w:p w14:paraId="04BC5D23" w14:textId="7C3F5E5D" w:rsidR="00AE20C5" w:rsidRDefault="00AE20C5" w:rsidP="004C24DE">
      <w:pPr>
        <w:spacing w:after="0" w:line="240" w:lineRule="auto"/>
        <w:jc w:val="both"/>
        <w:rPr>
          <w:rFonts w:ascii="Sylfaen" w:hAnsi="Sylfaen" w:cs="Sylfaen"/>
          <w:b/>
          <w:lang w:val="ka-GE"/>
        </w:rPr>
      </w:pPr>
      <w:r>
        <w:rPr>
          <w:rFonts w:ascii="Sylfaen" w:hAnsi="Sylfaen" w:cs="Sylfaen"/>
          <w:b/>
          <w:bCs/>
          <w:lang w:val="ka-GE"/>
        </w:rPr>
        <w:t>ლოტი N2</w:t>
      </w:r>
      <w:r w:rsidR="004C24DE">
        <w:rPr>
          <w:rFonts w:ascii="Sylfaen" w:hAnsi="Sylfaen" w:cs="Sylfaen"/>
          <w:b/>
          <w:bCs/>
          <w:lang w:val="ka-GE"/>
        </w:rPr>
        <w:t xml:space="preserve"> -</w:t>
      </w:r>
      <w:r w:rsidR="004C24DE">
        <w:rPr>
          <w:rFonts w:ascii="Sylfaen" w:hAnsi="Sylfaen" w:cs="Sylfaen"/>
          <w:b/>
          <w:lang w:val="ka-GE"/>
        </w:rPr>
        <w:t>ერთჯერადი (სამედიცინო) გამოყენების პირბადეების შესყიდვა</w:t>
      </w:r>
    </w:p>
    <w:p w14:paraId="261405E1" w14:textId="77777777" w:rsidR="004C24DE" w:rsidRDefault="004C24DE" w:rsidP="004C24DE">
      <w:pPr>
        <w:spacing w:after="0" w:line="240" w:lineRule="auto"/>
        <w:jc w:val="both"/>
        <w:rPr>
          <w:rFonts w:ascii="Sylfaen" w:hAnsi="Sylfaen" w:cs="Sylfaen"/>
          <w:b/>
          <w:bCs/>
          <w:lang w:val="ka-GE"/>
        </w:rPr>
      </w:pPr>
    </w:p>
    <w:p w14:paraId="12122A3C" w14:textId="423387EF" w:rsidR="00AE20C5" w:rsidRPr="00AE20C5" w:rsidRDefault="00AE20C5" w:rsidP="00AE20C5">
      <w:pPr>
        <w:pStyle w:val="ListParagraph"/>
        <w:numPr>
          <w:ilvl w:val="0"/>
          <w:numId w:val="39"/>
        </w:numPr>
        <w:jc w:val="both"/>
        <w:rPr>
          <w:rFonts w:ascii="Sylfaen" w:hAnsi="Sylfaen" w:cs="Sylfaen"/>
          <w:b/>
          <w:u w:val="single"/>
          <w:lang w:val="ka-GE"/>
        </w:rPr>
      </w:pPr>
      <w:r w:rsidRPr="00AE20C5">
        <w:rPr>
          <w:rFonts w:ascii="Sylfaen" w:hAnsi="Sylfaen" w:cs="Sylfaen"/>
          <w:lang w:val="ka-GE"/>
        </w:rPr>
        <w:t xml:space="preserve">პირბადე განკუნთვილი უნდა იყოს </w:t>
      </w:r>
      <w:r>
        <w:rPr>
          <w:rFonts w:ascii="Sylfaen" w:hAnsi="Sylfaen" w:cs="Sylfaen"/>
          <w:lang w:val="ka-GE"/>
        </w:rPr>
        <w:t xml:space="preserve">ერთჯერადი </w:t>
      </w:r>
      <w:r w:rsidRPr="00AE20C5">
        <w:rPr>
          <w:rFonts w:ascii="Sylfaen" w:hAnsi="Sylfaen" w:cs="Sylfaen"/>
          <w:lang w:val="ka-GE"/>
        </w:rPr>
        <w:t xml:space="preserve">მოხმარებისათვის; </w:t>
      </w:r>
    </w:p>
    <w:p w14:paraId="5DEAF85E" w14:textId="77777777" w:rsidR="00AE20C5" w:rsidRPr="00F45EB8" w:rsidRDefault="00AE20C5" w:rsidP="00AE20C5">
      <w:pPr>
        <w:pStyle w:val="ListParagraph"/>
        <w:numPr>
          <w:ilvl w:val="0"/>
          <w:numId w:val="39"/>
        </w:numPr>
        <w:spacing w:after="0" w:line="240" w:lineRule="auto"/>
        <w:jc w:val="both"/>
        <w:rPr>
          <w:rFonts w:ascii="Sylfaen" w:hAnsi="Sylfaen" w:cs="Sylfaen"/>
          <w:b/>
          <w:u w:val="single"/>
          <w:lang w:val="ka-GE"/>
        </w:rPr>
      </w:pPr>
      <w:r>
        <w:rPr>
          <w:rFonts w:ascii="Sylfaen" w:hAnsi="Sylfaen" w:cs="Sylfaen"/>
          <w:lang w:val="ka-GE"/>
        </w:rPr>
        <w:t xml:space="preserve">უნდა იყოს სამშრიანი, </w:t>
      </w:r>
      <w:r w:rsidRPr="00434469">
        <w:rPr>
          <w:rFonts w:ascii="Sylfaen" w:hAnsi="Sylfaen" w:cs="Sylfaen"/>
          <w:lang w:val="ka-GE"/>
        </w:rPr>
        <w:t>„დაავადებათა კონტროლი</w:t>
      </w:r>
      <w:r>
        <w:rPr>
          <w:rFonts w:ascii="Sylfaen" w:hAnsi="Sylfaen" w:cs="Sylfaen"/>
          <w:lang w:val="ka-GE"/>
        </w:rPr>
        <w:t>სა და საზოგადოებრივი ჯანმრთელობის</w:t>
      </w:r>
      <w:r w:rsidRPr="00434469">
        <w:rPr>
          <w:rFonts w:ascii="Sylfaen" w:hAnsi="Sylfaen" w:cs="Sylfaen"/>
          <w:lang w:val="ka-GE"/>
        </w:rPr>
        <w:t xml:space="preserve"> ეროვნული ცენტრის“ მიერ შემუშავებული </w:t>
      </w:r>
      <w:r>
        <w:rPr>
          <w:rFonts w:ascii="Sylfaen" w:hAnsi="Sylfaen" w:cs="Sylfaen"/>
          <w:lang w:val="ka-GE"/>
        </w:rPr>
        <w:t>რეკომენდაციების მიხედვით;</w:t>
      </w:r>
    </w:p>
    <w:p w14:paraId="1A470D4F" w14:textId="77777777" w:rsidR="00AE20C5" w:rsidRDefault="00AE20C5" w:rsidP="00AE20C5">
      <w:pPr>
        <w:pStyle w:val="ListParagraph"/>
        <w:numPr>
          <w:ilvl w:val="0"/>
          <w:numId w:val="39"/>
        </w:numPr>
        <w:spacing w:after="0" w:line="240" w:lineRule="auto"/>
        <w:jc w:val="both"/>
        <w:rPr>
          <w:rFonts w:ascii="Sylfaen" w:hAnsi="Sylfaen" w:cs="Sylfaen"/>
          <w:lang w:val="ka-GE"/>
        </w:rPr>
      </w:pPr>
      <w:r w:rsidRPr="006B2E85">
        <w:rPr>
          <w:rFonts w:ascii="Sylfaen" w:hAnsi="Sylfaen" w:cs="Sylfaen"/>
          <w:lang w:val="ka-GE"/>
        </w:rPr>
        <w:t>ცხვირზე ფიქსაციით</w:t>
      </w:r>
      <w:r>
        <w:rPr>
          <w:rFonts w:ascii="Sylfaen" w:hAnsi="Sylfaen" w:cs="Sylfaen"/>
          <w:lang w:val="ka-GE"/>
        </w:rPr>
        <w:t xml:space="preserve"> და მყარი რეზინების სამაგრით;</w:t>
      </w:r>
    </w:p>
    <w:p w14:paraId="32D65D67" w14:textId="4F60800D" w:rsidR="00AE20C5" w:rsidRPr="006B2E85" w:rsidRDefault="00AE20C5" w:rsidP="00AE20C5">
      <w:pPr>
        <w:pStyle w:val="ListParagraph"/>
        <w:numPr>
          <w:ilvl w:val="0"/>
          <w:numId w:val="39"/>
        </w:numPr>
        <w:spacing w:after="0" w:line="240" w:lineRule="auto"/>
        <w:jc w:val="both"/>
        <w:rPr>
          <w:rFonts w:ascii="Sylfaen" w:hAnsi="Sylfaen" w:cs="Sylfaen"/>
          <w:lang w:val="ka-GE"/>
        </w:rPr>
      </w:pPr>
      <w:r>
        <w:rPr>
          <w:rFonts w:ascii="Sylfaen" w:hAnsi="Sylfaen" w:cs="Sylfaen"/>
          <w:lang w:val="ka-GE"/>
        </w:rPr>
        <w:t>ფერი - ღია ტონები</w:t>
      </w:r>
    </w:p>
    <w:p w14:paraId="64C9F9C1" w14:textId="768F4CD3" w:rsidR="00AE20C5" w:rsidRPr="00AE20C5" w:rsidRDefault="00AE20C5" w:rsidP="00AE20C5">
      <w:pPr>
        <w:pStyle w:val="ListParagraph"/>
        <w:numPr>
          <w:ilvl w:val="0"/>
          <w:numId w:val="39"/>
        </w:numPr>
        <w:spacing w:after="0" w:line="240" w:lineRule="auto"/>
        <w:jc w:val="both"/>
        <w:rPr>
          <w:rFonts w:ascii="Sylfaen" w:hAnsi="Sylfaen" w:cs="Sylfaen"/>
          <w:b/>
          <w:bCs/>
          <w:lang w:val="ka-GE"/>
        </w:rPr>
      </w:pPr>
      <w:r w:rsidRPr="006B2E85">
        <w:rPr>
          <w:rFonts w:ascii="Sylfaen" w:hAnsi="Sylfaen"/>
          <w:lang w:val="ka-GE"/>
        </w:rPr>
        <w:t xml:space="preserve">დაფასოებული უნდა იყოს ჰერმეტულად 50 და/ან 100 ცალიანი შეკვრებით. </w:t>
      </w:r>
    </w:p>
    <w:p w14:paraId="72833A7A" w14:textId="1390B436" w:rsidR="00AE20C5" w:rsidRDefault="00AE20C5" w:rsidP="00AE20C5">
      <w:pPr>
        <w:spacing w:after="0" w:line="240" w:lineRule="auto"/>
        <w:jc w:val="both"/>
        <w:rPr>
          <w:rFonts w:ascii="Sylfaen" w:hAnsi="Sylfaen" w:cs="Sylfaen"/>
          <w:b/>
          <w:bCs/>
          <w:lang w:val="ka-GE"/>
        </w:rPr>
      </w:pPr>
    </w:p>
    <w:p w14:paraId="315E4067" w14:textId="3DB86043" w:rsidR="00AE20C5" w:rsidRPr="00AE20C5" w:rsidRDefault="00AE20C5" w:rsidP="00AE20C5">
      <w:pPr>
        <w:spacing w:after="0" w:line="240" w:lineRule="auto"/>
        <w:jc w:val="both"/>
        <w:rPr>
          <w:rFonts w:ascii="Sylfaen" w:hAnsi="Sylfaen" w:cs="Sylfaen"/>
          <w:b/>
          <w:bCs/>
          <w:i/>
          <w:lang w:val="ka-GE"/>
        </w:rPr>
      </w:pPr>
      <w:r w:rsidRPr="00AE20C5">
        <w:rPr>
          <w:rFonts w:ascii="Sylfaen" w:hAnsi="Sylfaen" w:cs="Sylfaen"/>
          <w:b/>
          <w:bCs/>
          <w:i/>
          <w:lang w:val="ka-GE"/>
        </w:rPr>
        <w:t>შენიშვნა: ვიზუალური შეფასებისათვის დანართი N1-ში პოზიციების მიხედვით მოცემული არის ფოტომასალა</w:t>
      </w:r>
      <w:r>
        <w:rPr>
          <w:rFonts w:ascii="Sylfaen" w:hAnsi="Sylfaen" w:cs="Sylfaen"/>
          <w:b/>
          <w:bCs/>
          <w:i/>
          <w:lang w:val="ka-GE"/>
        </w:rPr>
        <w:t xml:space="preserve">, თუ რა სტილის უნდა იყოს წარმოდგენილი შემოთავაზება (ფოტომასალა არ ნიშნვს იმას, </w:t>
      </w:r>
      <w:r w:rsidR="004C24DE">
        <w:rPr>
          <w:rFonts w:ascii="Sylfaen" w:hAnsi="Sylfaen" w:cs="Sylfaen"/>
          <w:b/>
          <w:bCs/>
          <w:i/>
          <w:lang w:val="ka-GE"/>
        </w:rPr>
        <w:t>რომ გვესაჭიროება ფოტოს იდენტური,</w:t>
      </w:r>
      <w:r>
        <w:rPr>
          <w:rFonts w:ascii="Sylfaen" w:hAnsi="Sylfaen" w:cs="Sylfaen"/>
          <w:b/>
          <w:bCs/>
          <w:i/>
          <w:lang w:val="ka-GE"/>
        </w:rPr>
        <w:t xml:space="preserve"> არის მხოლოდ ვიზუალური აღქმისათვის) </w:t>
      </w:r>
    </w:p>
    <w:p w14:paraId="0BA925B7" w14:textId="77777777" w:rsidR="00AE20C5" w:rsidRPr="00AE20C5" w:rsidRDefault="00AE20C5" w:rsidP="00AE20C5">
      <w:pPr>
        <w:spacing w:after="0" w:line="240" w:lineRule="auto"/>
        <w:jc w:val="both"/>
        <w:rPr>
          <w:rFonts w:ascii="Sylfaen" w:hAnsi="Sylfaen" w:cs="Sylfaen"/>
          <w:b/>
          <w:bCs/>
          <w:lang w:val="ka-GE"/>
        </w:rPr>
      </w:pPr>
    </w:p>
    <w:p w14:paraId="418DC29D" w14:textId="77777777" w:rsidR="006B2E85" w:rsidRPr="006B2E85" w:rsidRDefault="006B2E85" w:rsidP="006B2E85">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42001846" w:rsidR="000353F8" w:rsidRPr="00F45EB8" w:rsidRDefault="006B2E85" w:rsidP="00153785">
      <w:pPr>
        <w:spacing w:line="240" w:lineRule="auto"/>
        <w:rPr>
          <w:rFonts w:ascii="Sylfaen" w:hAnsi="Sylfaen" w:cs="Sylfaen"/>
          <w:b/>
          <w:bCs/>
          <w:lang w:val="ka-GE"/>
        </w:rPr>
      </w:pPr>
      <w:r>
        <w:rPr>
          <w:rFonts w:ascii="Sylfaen" w:hAnsi="Sylfaen" w:cs="Sylfaen"/>
          <w:lang w:val="ka-GE"/>
        </w:rPr>
        <w:t xml:space="preserve">პირბადეების </w:t>
      </w:r>
      <w:r w:rsidR="00153785">
        <w:rPr>
          <w:rFonts w:ascii="Sylfaen" w:hAnsi="Sylfaen" w:cs="Sylfaen"/>
          <w:b/>
          <w:lang w:val="ka-GE"/>
        </w:rPr>
        <w:t xml:space="preserve"> </w:t>
      </w:r>
      <w:r w:rsidR="00F45EB8">
        <w:rPr>
          <w:rFonts w:ascii="Sylfaen" w:hAnsi="Sylfaen" w:cs="Sylfaen"/>
          <w:lang w:val="ka-GE"/>
        </w:rPr>
        <w:t xml:space="preserve">შესყიდვის თვიური მიახლოებითი რაოდენობა მოცემულია დანართი N1-ში. </w:t>
      </w:r>
    </w:p>
    <w:p w14:paraId="770C26CC" w14:textId="21B80EAD" w:rsidR="000B1F3B" w:rsidRDefault="005119F0" w:rsidP="000353F8">
      <w:pPr>
        <w:spacing w:after="0" w:line="240" w:lineRule="auto"/>
        <w:jc w:val="both"/>
        <w:rPr>
          <w:rFonts w:ascii="Sylfaen" w:hAnsi="Sylfaen" w:cs="Sylfaen"/>
          <w:b/>
          <w:bCs/>
          <w:lang w:val="ka-GE"/>
        </w:rPr>
      </w:pPr>
      <w:hyperlink r:id="rId12" w:history="1">
        <w:r w:rsidR="00E32503" w:rsidRPr="00E32503">
          <w:rPr>
            <w:rStyle w:val="Hyperlink"/>
            <w:rFonts w:ascii="Sylfaen" w:hAnsi="Sylfaen" w:cs="Sylfaen"/>
            <w:b/>
            <w:bCs/>
            <w:lang w:val="ka-GE"/>
          </w:rPr>
          <w:t>დანართი N1.xlsx</w:t>
        </w:r>
      </w:hyperlink>
    </w:p>
    <w:p w14:paraId="51AFD625" w14:textId="77777777" w:rsidR="00E32503" w:rsidRPr="00F45EB8" w:rsidRDefault="00E32503" w:rsidP="000353F8">
      <w:pPr>
        <w:spacing w:after="0" w:line="240" w:lineRule="auto"/>
        <w:jc w:val="both"/>
        <w:rPr>
          <w:rFonts w:ascii="Sylfaen" w:hAnsi="Sylfaen" w:cs="Sylfaen"/>
          <w:b/>
          <w:bCs/>
          <w:lang w:val="ka-GE"/>
        </w:rPr>
      </w:pPr>
    </w:p>
    <w:p w14:paraId="3E3FBEF7" w14:textId="2757F301" w:rsidR="000B1F3B" w:rsidRPr="001C6888" w:rsidRDefault="000B1F3B" w:rsidP="000353F8">
      <w:pPr>
        <w:spacing w:after="0" w:line="240" w:lineRule="auto"/>
        <w:jc w:val="both"/>
        <w:rPr>
          <w:rFonts w:ascii="Sylfaen" w:hAnsi="Sylfaen" w:cs="Sylfaen"/>
          <w:b/>
          <w:bCs/>
          <w:lang w:val="ka-GE"/>
        </w:rPr>
      </w:pPr>
      <w:r w:rsidRPr="001C6888">
        <w:rPr>
          <w:rFonts w:ascii="Sylfaen" w:hAnsi="Sylfaen" w:cs="Sylfaen"/>
          <w:b/>
          <w:bCs/>
          <w:lang w:val="ka-GE"/>
        </w:rPr>
        <w:lastRenderedPageBreak/>
        <w:t xml:space="preserve">შენიშვნა: წინამდებარე სატენდერო დოკუმენტაციით განსაზღვრული </w:t>
      </w:r>
      <w:r w:rsidR="00F45EB8">
        <w:rPr>
          <w:rFonts w:ascii="Sylfaen" w:hAnsi="Sylfaen" w:cs="Sylfaen"/>
          <w:b/>
          <w:bCs/>
          <w:lang w:val="ka-GE"/>
        </w:rPr>
        <w:t>რაოდენობა</w:t>
      </w:r>
      <w:r w:rsidRPr="001C6888">
        <w:rPr>
          <w:rFonts w:ascii="Sylfaen" w:hAnsi="Sylfaen" w:cs="Sylfaen"/>
          <w:b/>
          <w:bCs/>
          <w:lang w:val="ka-GE"/>
        </w:rPr>
        <w:t xml:space="preserve"> არის საორიენტაციო და შემსყ</w:t>
      </w:r>
      <w:r w:rsidR="002803E8">
        <w:rPr>
          <w:rFonts w:ascii="Sylfaen" w:hAnsi="Sylfaen" w:cs="Sylfaen"/>
          <w:b/>
          <w:bCs/>
          <w:lang w:val="ka-GE"/>
        </w:rPr>
        <w:t>იდველი იტოვებს უფლებას სრულად არ აითვისოს/ან</w:t>
      </w:r>
      <w:r w:rsidR="004B7339">
        <w:rPr>
          <w:rFonts w:ascii="Sylfaen" w:hAnsi="Sylfaen" w:cs="Sylfaen"/>
          <w:b/>
          <w:bCs/>
          <w:lang w:val="ka-GE"/>
        </w:rPr>
        <w:t xml:space="preserve"> მეტობით აითვისოს </w:t>
      </w:r>
      <w:r w:rsidRPr="001C6888">
        <w:rPr>
          <w:rFonts w:ascii="Sylfaen" w:hAnsi="Sylfaen" w:cs="Sylfaen"/>
          <w:b/>
          <w:bCs/>
          <w:lang w:val="ka-GE"/>
        </w:rPr>
        <w:t xml:space="preserve"> ელექტრონულ ტ</w:t>
      </w:r>
      <w:r w:rsidR="004B7339">
        <w:rPr>
          <w:rFonts w:ascii="Sylfaen" w:hAnsi="Sylfaen" w:cs="Sylfaen"/>
          <w:b/>
          <w:bCs/>
          <w:lang w:val="ka-GE"/>
        </w:rPr>
        <w:t xml:space="preserve">ენდერში განსაზღვრული </w:t>
      </w:r>
      <w:r w:rsidR="00F45EB8">
        <w:rPr>
          <w:rFonts w:ascii="Sylfaen" w:hAnsi="Sylfaen" w:cs="Sylfaen"/>
          <w:b/>
          <w:bCs/>
          <w:lang w:val="ka-GE"/>
        </w:rPr>
        <w:t>რაოდენობები</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7394EF9D"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6B2E85">
        <w:rPr>
          <w:rFonts w:ascii="Sylfaen" w:hAnsi="Sylfaen" w:cs="Sylfaen"/>
          <w:color w:val="222222"/>
          <w:shd w:val="clear" w:color="auto" w:fill="FFFFFF"/>
          <w:lang w:val="ka-GE"/>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11A92F62" w14:textId="00BBA96B" w:rsidR="006B2E85" w:rsidRDefault="004C24DE" w:rsidP="00F90B03">
      <w:pPr>
        <w:rPr>
          <w:rFonts w:ascii="Sylfaen" w:hAnsi="Sylfaen" w:cs="Sylfaen"/>
          <w:b/>
          <w:lang w:val="ka-GE"/>
        </w:rPr>
      </w:pPr>
      <w:hyperlink r:id="rId13" w:history="1">
        <w:r w:rsidRPr="004C24DE">
          <w:rPr>
            <w:rStyle w:val="Hyperlink"/>
            <w:rFonts w:ascii="Sylfaen" w:hAnsi="Sylfaen" w:cs="Sylfaen"/>
            <w:b/>
            <w:lang w:val="ka-GE"/>
          </w:rPr>
          <w:t>დანართი N1.xlsx</w:t>
        </w:r>
      </w:hyperlink>
    </w:p>
    <w:p w14:paraId="5FEF6B21" w14:textId="58BACF22"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1766C940" w:rsidR="001C6888" w:rsidRPr="004B7339" w:rsidRDefault="003657A5" w:rsidP="00FB230D">
      <w:pPr>
        <w:rPr>
          <w:rFonts w:ascii="Sylfaen" w:hAnsi="Sylfaen" w:cs="Sylfaen"/>
          <w:lang w:val="ka-GE"/>
        </w:rPr>
      </w:pPr>
      <w:r w:rsidRPr="00E37C5C">
        <w:rPr>
          <w:rFonts w:ascii="Sylfaen" w:hAnsi="Sylfaen" w:cs="Sylfaen"/>
          <w:lang w:val="ka-GE"/>
        </w:rPr>
        <w:t xml:space="preserve">ხელშეკრულების გაფორმებიდან </w:t>
      </w:r>
      <w:r w:rsidR="00F45EB8">
        <w:rPr>
          <w:rFonts w:ascii="Sylfaen" w:hAnsi="Sylfaen" w:cs="Sylfaen"/>
          <w:lang w:val="ka-GE"/>
        </w:rPr>
        <w:t xml:space="preserve">6 </w:t>
      </w:r>
      <w:r w:rsidR="00E91201">
        <w:rPr>
          <w:rFonts w:ascii="Sylfaen" w:hAnsi="Sylfaen" w:cs="Sylfaen"/>
          <w:lang w:val="ka-GE"/>
        </w:rPr>
        <w:t xml:space="preserve">კალენდარული თვის განმავლობაში </w:t>
      </w:r>
      <w:r w:rsidR="00AA19E9">
        <w:rPr>
          <w:rFonts w:ascii="Sylfaen" w:hAnsi="Sylfaen" w:cs="Sylfaen"/>
          <w:lang w:val="ka-GE"/>
        </w:rPr>
        <w:t xml:space="preserve">ეტაპობრივად </w:t>
      </w:r>
      <w:r w:rsidR="004B7339">
        <w:rPr>
          <w:rFonts w:ascii="Sylfaen" w:hAnsi="Sylfaen" w:cs="Sylfaen"/>
          <w:lang w:val="ka-GE"/>
        </w:rPr>
        <w:t>შემსყიდველის მოთხოვნის შესაბამისად.</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65C65110" w:rsidR="00DC454F" w:rsidRDefault="00B04164" w:rsidP="001760C2">
      <w:pPr>
        <w:rPr>
          <w:rFonts w:ascii="Sylfaen" w:hAnsi="Sylfaen" w:cs="Sylfaen"/>
          <w:lang w:val="ka-GE"/>
        </w:rPr>
      </w:pPr>
      <w:r>
        <w:rPr>
          <w:rFonts w:ascii="Sylfaen" w:hAnsi="Sylfaen" w:cs="Sylfaen"/>
          <w:lang w:val="ka-GE"/>
        </w:rPr>
        <w:t>მისამართები განსაზღვრულია დანართი N1-ში.</w:t>
      </w:r>
    </w:p>
    <w:p w14:paraId="5938AB18" w14:textId="582E1FDE" w:rsidR="001760C2" w:rsidRPr="00B11405" w:rsidRDefault="00DC454F" w:rsidP="00FD35B5">
      <w:pPr>
        <w:rPr>
          <w:rFonts w:ascii="Sylfaen" w:hAnsi="Sylfaen" w:cs="Arial"/>
          <w:lang w:val="ka-GE"/>
        </w:rPr>
      </w:pPr>
      <w:r w:rsidRPr="00DC454F">
        <w:rPr>
          <w:rFonts w:ascii="Sylfaen" w:hAnsi="Sylfaen" w:cs="Sylfaen"/>
          <w:b/>
          <w:lang w:val="ka-GE"/>
        </w:rPr>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ყიდველი იტოვებს უფლებას ს</w:t>
      </w:r>
      <w:r w:rsidR="00AE20C5">
        <w:rPr>
          <w:rFonts w:ascii="Sylfaen" w:hAnsi="Sylfaen" w:cs="Sylfaen"/>
          <w:lang w:val="ka-GE"/>
        </w:rPr>
        <w:t>აქონლის</w:t>
      </w:r>
      <w:r>
        <w:rPr>
          <w:rFonts w:ascii="Sylfaen" w:hAnsi="Sylfaen" w:cs="Sylfaen"/>
          <w:lang w:val="ka-GE"/>
        </w:rPr>
        <w:t xml:space="preserve"> მიწოდება მოითხოვოს </w:t>
      </w:r>
      <w:r w:rsidR="00B04164">
        <w:rPr>
          <w:rFonts w:ascii="Sylfaen" w:hAnsi="Sylfaen" w:cs="Sylfaen"/>
          <w:lang w:val="ka-GE"/>
        </w:rPr>
        <w:t xml:space="preserve">დანართი N1-ით განსაზღვრული მისამართებიდან </w:t>
      </w:r>
      <w:r>
        <w:rPr>
          <w:rFonts w:ascii="Sylfaen" w:hAnsi="Sylfaen" w:cs="Sylfaen"/>
          <w:lang w:val="ka-GE"/>
        </w:rPr>
        <w:t>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73B505D4" w:rsidR="008D04C5" w:rsidRPr="00E37C5C"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A0CB9C7" w14:textId="487FD774" w:rsidR="00E711C6" w:rsidRDefault="00387591" w:rsidP="00E711C6">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F45EB8">
        <w:rPr>
          <w:rFonts w:ascii="Sylfaen" w:hAnsi="Sylfaen"/>
          <w:lang w:val="ka-GE"/>
        </w:rPr>
        <w:t xml:space="preserve"> დანართი N1-ის მიხედვით</w:t>
      </w:r>
      <w:r w:rsidR="003F47C3">
        <w:rPr>
          <w:rFonts w:ascii="Sylfaen" w:hAnsi="Sylfaen"/>
          <w:lang w:val="ka-GE"/>
        </w:rPr>
        <w:t xml:space="preserve"> </w:t>
      </w:r>
      <w:r w:rsidR="00F45EB8">
        <w:rPr>
          <w:rFonts w:ascii="Sylfaen" w:hAnsi="Sylfaen"/>
          <w:lang w:val="ka-GE"/>
        </w:rPr>
        <w:t>ეროვნულ ვალუტაში საქართველოს კანონმდებლობით განსაზღვრული ყველა გადასახადის ჩათვლით</w:t>
      </w:r>
      <w:r w:rsidR="006B2E85">
        <w:rPr>
          <w:rFonts w:ascii="Sylfaen" w:hAnsi="Sylfaen"/>
          <w:lang w:val="ka-GE"/>
        </w:rPr>
        <w:t>, მათ შორის ტრანსპორტირების საფასურიც.</w:t>
      </w:r>
      <w:r w:rsidR="00F45EB8">
        <w:rPr>
          <w:rFonts w:ascii="Sylfaen" w:hAnsi="Sylfaen"/>
          <w:lang w:val="ka-GE"/>
        </w:rPr>
        <w:t xml:space="preserve">. </w:t>
      </w:r>
    </w:p>
    <w:p w14:paraId="099EFFEE" w14:textId="4ACBCEE2" w:rsidR="00434469" w:rsidRDefault="00F45EB8" w:rsidP="00E711C6">
      <w:pPr>
        <w:spacing w:before="240" w:after="160"/>
        <w:jc w:val="both"/>
        <w:rPr>
          <w:rFonts w:ascii="Sylfaen" w:hAnsi="Sylfaen"/>
          <w:lang w:val="ka-GE"/>
        </w:rPr>
      </w:pPr>
      <w:r>
        <w:rPr>
          <w:rFonts w:ascii="Sylfaen" w:hAnsi="Sylfaen"/>
          <w:lang w:val="ka-GE"/>
        </w:rPr>
        <w:t>2</w:t>
      </w:r>
      <w:r w:rsidR="003F47C3" w:rsidRPr="003F47C3">
        <w:rPr>
          <w:rFonts w:ascii="Sylfaen" w:hAnsi="Sylfaen"/>
          <w:lang w:val="ka-GE"/>
        </w:rPr>
        <w:t>.</w:t>
      </w:r>
      <w:r>
        <w:rPr>
          <w:rFonts w:ascii="Sylfaen" w:hAnsi="Sylfaen"/>
          <w:lang w:val="ka-GE"/>
        </w:rPr>
        <w:t xml:space="preserve"> </w:t>
      </w:r>
      <w:r>
        <w:rPr>
          <w:rFonts w:ascii="Sylfaen" w:hAnsi="Sylfaen" w:cs="Sylfaen"/>
          <w:lang w:val="ka-GE"/>
        </w:rPr>
        <w:t xml:space="preserve">შემოთავაზებული </w:t>
      </w:r>
      <w:r w:rsidR="006B2E85">
        <w:rPr>
          <w:rFonts w:ascii="Sylfaen" w:hAnsi="Sylfaen" w:cs="Sylfaen"/>
          <w:lang w:val="ka-GE"/>
        </w:rPr>
        <w:t>მრავალჯერადი გამოყენების პირბადის</w:t>
      </w:r>
      <w:r>
        <w:rPr>
          <w:rFonts w:ascii="Sylfaen" w:hAnsi="Sylfaen" w:cs="Sylfaen"/>
          <w:lang w:val="ka-GE"/>
        </w:rPr>
        <w:t xml:space="preserve"> შემ</w:t>
      </w:r>
      <w:r w:rsidR="00434469">
        <w:rPr>
          <w:rFonts w:ascii="Sylfaen" w:hAnsi="Sylfaen" w:cs="Sylfaen"/>
          <w:lang w:val="ka-GE"/>
        </w:rPr>
        <w:t>ა</w:t>
      </w:r>
      <w:r>
        <w:rPr>
          <w:rFonts w:ascii="Sylfaen" w:hAnsi="Sylfaen" w:cs="Sylfaen"/>
          <w:lang w:val="ka-GE"/>
        </w:rPr>
        <w:t xml:space="preserve">დგენლობის დამადასტურებელი დოკუმენტაცია, მათ შორის ლაბორატორიული დასკვნა უვნებლობასა და კორონავირუსის საწინააღმდეგო მოქმედების </w:t>
      </w:r>
      <w:r w:rsidR="00434469">
        <w:rPr>
          <w:rFonts w:ascii="Sylfaen" w:hAnsi="Sylfaen" w:cs="Sylfaen"/>
          <w:lang w:val="ka-GE"/>
        </w:rPr>
        <w:t xml:space="preserve">დამადასტურებელი დასვნით. </w:t>
      </w:r>
    </w:p>
    <w:p w14:paraId="1CD1DAA1" w14:textId="6F238933" w:rsidR="00CB6EA4" w:rsidRPr="003F47C3" w:rsidRDefault="00434469" w:rsidP="00E711C6">
      <w:pPr>
        <w:spacing w:before="240" w:after="160"/>
        <w:jc w:val="both"/>
        <w:rPr>
          <w:rFonts w:ascii="Sylfaen" w:hAnsi="Sylfaen"/>
          <w:lang w:val="ka-GE"/>
        </w:rPr>
      </w:pPr>
      <w:r>
        <w:rPr>
          <w:rFonts w:ascii="Sylfaen" w:hAnsi="Sylfaen"/>
          <w:lang w:val="ka-GE"/>
        </w:rPr>
        <w:t xml:space="preserve">3. კომაპნიების ჩამონათვალი და/ან რეკომენდაციები ანალოგიური ტიპის მომარაგებასთან დაკავშირებით. </w:t>
      </w:r>
    </w:p>
    <w:p w14:paraId="2C219B3E" w14:textId="6E55C901" w:rsidR="00BD74F8" w:rsidRDefault="00434469" w:rsidP="00AB6F7C">
      <w:pPr>
        <w:spacing w:before="240" w:after="160"/>
        <w:jc w:val="both"/>
        <w:rPr>
          <w:rFonts w:ascii="Sylfaen" w:hAnsi="Sylfaen"/>
          <w:lang w:val="ka-GE"/>
        </w:rPr>
      </w:pPr>
      <w:r>
        <w:rPr>
          <w:rFonts w:ascii="Sylfaen" w:hAnsi="Sylfaen"/>
          <w:lang w:val="ka-GE"/>
        </w:rPr>
        <w:lastRenderedPageBreak/>
        <w:t>4</w:t>
      </w:r>
      <w:r w:rsidR="00E45EB8">
        <w:rPr>
          <w:rFonts w:ascii="Sylfaen" w:hAnsi="Sylfaen"/>
          <w:lang w:val="ka-GE"/>
        </w:rPr>
        <w:t>.</w:t>
      </w:r>
      <w:r>
        <w:rPr>
          <w:rFonts w:ascii="Sylfaen" w:hAnsi="Sylfaen"/>
          <w:lang w:val="ka-GE"/>
        </w:rPr>
        <w:t xml:space="preserve"> </w:t>
      </w:r>
      <w:r w:rsidR="004717AB" w:rsidRPr="00E37C5C">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w:t>
      </w:r>
      <w:r>
        <w:rPr>
          <w:rFonts w:ascii="Sylfaen" w:hAnsi="Sylfaen"/>
          <w:lang w:val="ka-GE"/>
        </w:rPr>
        <w:t xml:space="preserve">ელექტრონული ტენდერის გამოცხადებამდე მინ 1 თვით ადრე. </w:t>
      </w:r>
    </w:p>
    <w:p w14:paraId="6C0D0C18" w14:textId="00CBBE41" w:rsidR="00E32503" w:rsidRDefault="00E32503" w:rsidP="00AB6F7C">
      <w:pPr>
        <w:spacing w:before="240" w:after="160"/>
        <w:jc w:val="both"/>
        <w:rPr>
          <w:rFonts w:ascii="Sylfaen" w:hAnsi="Sylfaen"/>
          <w:lang w:val="ka-GE"/>
        </w:rPr>
      </w:pPr>
      <w:r>
        <w:rPr>
          <w:rFonts w:ascii="Sylfaen" w:hAnsi="Sylfaen"/>
          <w:lang w:val="ka-GE"/>
        </w:rPr>
        <w:t>5.   შემოთავაზებული პირბადეების ფოტომასალა და გამოყენების წესები;</w:t>
      </w:r>
    </w:p>
    <w:p w14:paraId="6538BAA8" w14:textId="6114158D" w:rsidR="001E34C2" w:rsidRPr="001E34C2" w:rsidRDefault="00E32503" w:rsidP="00AB6F7C">
      <w:pPr>
        <w:spacing w:before="240" w:after="160"/>
        <w:jc w:val="both"/>
        <w:rPr>
          <w:rFonts w:ascii="Sylfaen" w:hAnsi="Sylfaen"/>
          <w:lang w:val="ka-GE"/>
        </w:rPr>
      </w:pPr>
      <w:r>
        <w:rPr>
          <w:rFonts w:ascii="Sylfaen" w:hAnsi="Sylfaen"/>
          <w:lang w:val="ka-GE"/>
        </w:rPr>
        <w:t>6</w:t>
      </w:r>
      <w:r w:rsidR="001E34C2">
        <w:rPr>
          <w:rFonts w:ascii="Sylfaen" w:hAnsi="Sylfaen"/>
          <w:lang w:val="ka-GE"/>
        </w:rPr>
        <w:t>. ტენდერის დასრულების დღეს, პრეტენდენტმა უსასყიდლოდ უნდა წარმოადგინოს შემოთავაზების ნიმუშები მისამართზე: ქ. თბილისი, მედეა (მზია) ჯუღელის ქ N10 (</w:t>
      </w:r>
      <w:r w:rsidR="001E34C2" w:rsidRPr="00E32503">
        <w:rPr>
          <w:rFonts w:ascii="Sylfaen" w:hAnsi="Sylfaen"/>
          <w:lang w:val="ka-GE"/>
        </w:rPr>
        <w:t>GWP-</w:t>
      </w:r>
      <w:r w:rsidR="001E34C2">
        <w:rPr>
          <w:rFonts w:ascii="Sylfaen" w:hAnsi="Sylfaen"/>
          <w:lang w:val="ka-GE"/>
        </w:rPr>
        <w:t xml:space="preserve">ს სათავო ოფისი). ნიმუშებზე მითითებული უნდა იყოს კომპანიის დასახელება. </w:t>
      </w: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2503">
        <w:rPr>
          <w:rFonts w:ascii="Verdana" w:hAnsi="Verdana"/>
          <w:color w:val="222222"/>
          <w:shd w:val="clear" w:color="auto" w:fill="FFFFFF"/>
          <w:lang w:val="ka-GE"/>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6A42BE3C" w14:textId="77777777" w:rsidR="007A4B6C" w:rsidRDefault="007A4B6C" w:rsidP="00993D47">
      <w:pPr>
        <w:spacing w:after="0" w:line="360" w:lineRule="auto"/>
        <w:jc w:val="both"/>
        <w:rPr>
          <w:rFonts w:ascii="Sylfaen" w:hAnsi="Sylfaen" w:cs="Sylfaen"/>
          <w:b/>
          <w:lang w:val="ka-GE"/>
        </w:rPr>
      </w:pP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lastRenderedPageBreak/>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4" w:history="1">
        <w:r w:rsidR="007E0304" w:rsidRPr="00E37C5C">
          <w:rPr>
            <w:rStyle w:val="Hyperlink"/>
            <w:rFonts w:ascii="Sylfaen" w:hAnsi="Sylfaen"/>
            <w:lang w:val="ka-GE"/>
          </w:rPr>
          <w:t>www.tenders.ge</w:t>
        </w:r>
      </w:hyperlink>
    </w:p>
    <w:p w14:paraId="2EE38DE1" w14:textId="70D1227C"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bookmarkStart w:id="0" w:name="_GoBack"/>
      <w:bookmarkEnd w:id="0"/>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6E8EB" w14:textId="77777777" w:rsidR="005119F0" w:rsidRDefault="005119F0" w:rsidP="007902EA">
      <w:pPr>
        <w:spacing w:after="0" w:line="240" w:lineRule="auto"/>
      </w:pPr>
      <w:r>
        <w:separator/>
      </w:r>
    </w:p>
  </w:endnote>
  <w:endnote w:type="continuationSeparator" w:id="0">
    <w:p w14:paraId="5954A0E0" w14:textId="77777777" w:rsidR="005119F0" w:rsidRDefault="005119F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7A69BF1" w:rsidR="004A3BD8" w:rsidRDefault="004A3BD8">
        <w:pPr>
          <w:pStyle w:val="Footer"/>
          <w:jc w:val="right"/>
        </w:pPr>
        <w:r>
          <w:fldChar w:fldCharType="begin"/>
        </w:r>
        <w:r>
          <w:instrText xml:space="preserve"> PAGE   \* MERGEFORMAT </w:instrText>
        </w:r>
        <w:r>
          <w:fldChar w:fldCharType="separate"/>
        </w:r>
        <w:r w:rsidR="004C24DE">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469B6" w14:textId="77777777" w:rsidR="005119F0" w:rsidRDefault="005119F0" w:rsidP="007902EA">
      <w:pPr>
        <w:spacing w:after="0" w:line="240" w:lineRule="auto"/>
      </w:pPr>
      <w:r>
        <w:separator/>
      </w:r>
    </w:p>
  </w:footnote>
  <w:footnote w:type="continuationSeparator" w:id="0">
    <w:p w14:paraId="23B64918" w14:textId="77777777" w:rsidR="005119F0" w:rsidRDefault="005119F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D5063FB"/>
    <w:multiLevelType w:val="hybridMultilevel"/>
    <w:tmpl w:val="BB62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8"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37"/>
  </w:num>
  <w:num w:numId="5">
    <w:abstractNumId w:val="15"/>
  </w:num>
  <w:num w:numId="6">
    <w:abstractNumId w:val="6"/>
  </w:num>
  <w:num w:numId="7">
    <w:abstractNumId w:val="5"/>
  </w:num>
  <w:num w:numId="8">
    <w:abstractNumId w:val="30"/>
  </w:num>
  <w:num w:numId="9">
    <w:abstractNumId w:val="34"/>
  </w:num>
  <w:num w:numId="10">
    <w:abstractNumId w:val="18"/>
  </w:num>
  <w:num w:numId="11">
    <w:abstractNumId w:val="9"/>
  </w:num>
  <w:num w:numId="12">
    <w:abstractNumId w:val="13"/>
  </w:num>
  <w:num w:numId="13">
    <w:abstractNumId w:val="26"/>
  </w:num>
  <w:num w:numId="14">
    <w:abstractNumId w:val="19"/>
  </w:num>
  <w:num w:numId="15">
    <w:abstractNumId w:val="11"/>
  </w:num>
  <w:num w:numId="16">
    <w:abstractNumId w:val="32"/>
  </w:num>
  <w:num w:numId="17">
    <w:abstractNumId w:val="24"/>
  </w:num>
  <w:num w:numId="18">
    <w:abstractNumId w:val="22"/>
  </w:num>
  <w:num w:numId="19">
    <w:abstractNumId w:val="8"/>
  </w:num>
  <w:num w:numId="20">
    <w:abstractNumId w:val="2"/>
  </w:num>
  <w:num w:numId="21">
    <w:abstractNumId w:val="36"/>
  </w:num>
  <w:num w:numId="22">
    <w:abstractNumId w:val="38"/>
  </w:num>
  <w:num w:numId="23">
    <w:abstractNumId w:val="14"/>
  </w:num>
  <w:num w:numId="24">
    <w:abstractNumId w:val="33"/>
  </w:num>
  <w:num w:numId="25">
    <w:abstractNumId w:val="10"/>
  </w:num>
  <w:num w:numId="26">
    <w:abstractNumId w:val="29"/>
  </w:num>
  <w:num w:numId="27">
    <w:abstractNumId w:val="4"/>
  </w:num>
  <w:num w:numId="28">
    <w:abstractNumId w:val="27"/>
  </w:num>
  <w:num w:numId="29">
    <w:abstractNumId w:val="25"/>
  </w:num>
  <w:num w:numId="30">
    <w:abstractNumId w:val="31"/>
  </w:num>
  <w:num w:numId="31">
    <w:abstractNumId w:val="35"/>
  </w:num>
  <w:num w:numId="32">
    <w:abstractNumId w:val="28"/>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A727F"/>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B460D"/>
    <w:rsid w:val="003B5A5E"/>
    <w:rsid w:val="003B70E5"/>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24DE"/>
    <w:rsid w:val="004D3679"/>
    <w:rsid w:val="004D3D1C"/>
    <w:rsid w:val="004D747F"/>
    <w:rsid w:val="005111AB"/>
    <w:rsid w:val="005119F0"/>
    <w:rsid w:val="00515452"/>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2E85"/>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C42"/>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47D4"/>
    <w:rsid w:val="00A935AC"/>
    <w:rsid w:val="00A96330"/>
    <w:rsid w:val="00AA19E9"/>
    <w:rsid w:val="00AA2ABB"/>
    <w:rsid w:val="00AA511B"/>
    <w:rsid w:val="00AB6F7C"/>
    <w:rsid w:val="00AC32F5"/>
    <w:rsid w:val="00AC394F"/>
    <w:rsid w:val="00AC494C"/>
    <w:rsid w:val="00AD71C5"/>
    <w:rsid w:val="00AE20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2503"/>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4307;&#4304;&#4316;&#4304;&#4320;&#4311;&#4312;%20N1.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4307;&#4304;&#4316;&#4304;&#4320;&#4311;&#4312;%20N1.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9809-F509-4B73-81E5-E8D76E5D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16</cp:revision>
  <cp:lastPrinted>2015-07-27T06:36:00Z</cp:lastPrinted>
  <dcterms:created xsi:type="dcterms:W3CDTF">2020-05-28T13:48:00Z</dcterms:created>
  <dcterms:modified xsi:type="dcterms:W3CDTF">2020-11-09T12:49:00Z</dcterms:modified>
</cp:coreProperties>
</file>